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533A23" w14:textId="66E2D4A5" w:rsidR="00BE2F0B" w:rsidRPr="00BE2F0B" w:rsidRDefault="00BE2F0B" w:rsidP="00BE2F0B">
      <w:pPr>
        <w:shd w:val="clear" w:color="auto" w:fill="FFFFFF"/>
        <w:spacing w:after="0" w:line="240" w:lineRule="auto"/>
        <w:jc w:val="center"/>
        <w:rPr>
          <w:rFonts w:ascii="Titillium Web" w:eastAsia="Times New Roman" w:hAnsi="Titillium Web" w:cs="Times New Roman"/>
          <w:color w:val="19191A"/>
          <w:kern w:val="0"/>
          <w:sz w:val="27"/>
          <w:szCs w:val="27"/>
          <w:lang w:eastAsia="it-IT"/>
          <w14:ligatures w14:val="none"/>
        </w:rPr>
      </w:pPr>
      <w:r w:rsidRPr="00BE2F0B">
        <w:rPr>
          <w:rFonts w:ascii="Titillium Web" w:eastAsia="Times New Roman" w:hAnsi="Titillium Web" w:cs="Times New Roman"/>
          <w:b/>
          <w:bCs/>
          <w:color w:val="19191A"/>
          <w:kern w:val="0"/>
          <w:sz w:val="27"/>
          <w:szCs w:val="27"/>
          <w:lang w:eastAsia="it-IT"/>
          <w14:ligatures w14:val="none"/>
        </w:rPr>
        <w:t>SCHEDA SINTETICA PROFILO PROFESSIONALE DELL’ESPERTO</w:t>
      </w:r>
    </w:p>
    <w:p w14:paraId="32EA11C1" w14:textId="77777777" w:rsidR="00BE2F0B" w:rsidRPr="00BE2F0B" w:rsidRDefault="00BE2F0B" w:rsidP="00BE2F0B">
      <w:pPr>
        <w:shd w:val="clear" w:color="auto" w:fill="FFFFFF"/>
        <w:spacing w:after="0" w:line="240" w:lineRule="auto"/>
        <w:jc w:val="center"/>
        <w:rPr>
          <w:rFonts w:ascii="Titillium Web" w:eastAsia="Times New Roman" w:hAnsi="Titillium Web" w:cs="Times New Roman"/>
          <w:color w:val="19191A"/>
          <w:kern w:val="0"/>
          <w:sz w:val="27"/>
          <w:szCs w:val="27"/>
          <w:lang w:eastAsia="it-IT"/>
          <w14:ligatures w14:val="none"/>
        </w:rPr>
      </w:pPr>
      <w:r w:rsidRPr="00BE2F0B">
        <w:rPr>
          <w:rFonts w:ascii="Titillium Web" w:eastAsia="Times New Roman" w:hAnsi="Titillium Web" w:cs="Times New Roman"/>
          <w:b/>
          <w:bCs/>
          <w:color w:val="435A70"/>
          <w:kern w:val="0"/>
          <w:sz w:val="27"/>
          <w:szCs w:val="27"/>
          <w:lang w:eastAsia="it-IT"/>
          <w14:ligatures w14:val="none"/>
        </w:rPr>
        <w:t>- Articolo 13, comma 5, del Codice della crisi d’impresa –</w:t>
      </w:r>
    </w:p>
    <w:p w14:paraId="58B7E610" w14:textId="2704AFC2" w:rsidR="00BE2F0B" w:rsidRPr="00BE2F0B" w:rsidRDefault="00BE2F0B" w:rsidP="00BE2F0B">
      <w:pPr>
        <w:shd w:val="clear" w:color="auto" w:fill="FFFFFF"/>
        <w:spacing w:after="0" w:line="240" w:lineRule="auto"/>
        <w:jc w:val="center"/>
        <w:rPr>
          <w:rFonts w:ascii="Titillium Web" w:eastAsia="Times New Roman" w:hAnsi="Titillium Web" w:cs="Times New Roman"/>
          <w:color w:val="19191A"/>
          <w:kern w:val="0"/>
          <w:sz w:val="27"/>
          <w:szCs w:val="27"/>
          <w:lang w:eastAsia="it-IT"/>
          <w14:ligatures w14:val="none"/>
        </w:rPr>
      </w:pPr>
    </w:p>
    <w:p w14:paraId="2201E28F" w14:textId="3C1D651D" w:rsidR="00BE2F0B" w:rsidRPr="00BE2F0B" w:rsidRDefault="00BE2F0B" w:rsidP="00BE2F0B">
      <w:pPr>
        <w:shd w:val="clear" w:color="auto" w:fill="FFFFFF"/>
        <w:spacing w:after="0" w:line="240" w:lineRule="auto"/>
        <w:jc w:val="both"/>
        <w:rPr>
          <w:rFonts w:ascii="Titillium Web" w:eastAsia="Times New Roman" w:hAnsi="Titillium Web" w:cs="Times New Roman"/>
          <w:color w:val="19191A"/>
          <w:kern w:val="0"/>
          <w:sz w:val="27"/>
          <w:szCs w:val="27"/>
          <w:lang w:eastAsia="it-IT"/>
          <w14:ligatures w14:val="none"/>
        </w:rPr>
      </w:pPr>
      <w:r w:rsidRPr="00BE2F0B">
        <w:rPr>
          <w:rFonts w:ascii="Titillium Web" w:eastAsia="Times New Roman" w:hAnsi="Titillium Web" w:cs="Times New Roman"/>
          <w:color w:val="19191A"/>
          <w:kern w:val="0"/>
          <w:sz w:val="27"/>
          <w:szCs w:val="27"/>
          <w:lang w:eastAsia="it-IT"/>
          <w14:ligatures w14:val="none"/>
        </w:rPr>
        <w:t xml:space="preserve">Cognome e nome </w:t>
      </w:r>
      <w:permStart w:id="594093088" w:edGrp="everyone"/>
      <w:r w:rsidRPr="00BE2F0B">
        <w:rPr>
          <w:rFonts w:ascii="Titillium Web" w:eastAsia="Times New Roman" w:hAnsi="Titillium Web" w:cs="Times New Roman"/>
          <w:color w:val="19191A"/>
          <w:kern w:val="0"/>
          <w:sz w:val="27"/>
          <w:szCs w:val="27"/>
          <w:lang w:eastAsia="it-IT"/>
          <w14:ligatures w14:val="none"/>
        </w:rPr>
        <w:t>______________________</w:t>
      </w:r>
      <w:permEnd w:id="594093088"/>
      <w:r w:rsidRPr="00BE2F0B">
        <w:rPr>
          <w:rFonts w:ascii="Titillium Web" w:eastAsia="Times New Roman" w:hAnsi="Titillium Web" w:cs="Times New Roman"/>
          <w:color w:val="19191A"/>
          <w:kern w:val="0"/>
          <w:sz w:val="27"/>
          <w:szCs w:val="27"/>
          <w:lang w:eastAsia="it-IT"/>
          <w14:ligatures w14:val="none"/>
        </w:rPr>
        <w:t xml:space="preserve">, nato/a </w:t>
      </w:r>
      <w:proofErr w:type="spellStart"/>
      <w:r w:rsidRPr="00BE2F0B">
        <w:rPr>
          <w:rFonts w:ascii="Titillium Web" w:eastAsia="Times New Roman" w:hAnsi="Titillium Web" w:cs="Times New Roman"/>
          <w:color w:val="19191A"/>
          <w:kern w:val="0"/>
          <w:sz w:val="27"/>
          <w:szCs w:val="27"/>
          <w:lang w:eastAsia="it-IT"/>
          <w14:ligatures w14:val="none"/>
        </w:rPr>
        <w:t>a</w:t>
      </w:r>
      <w:proofErr w:type="spellEnd"/>
      <w:r w:rsidRPr="00BE2F0B">
        <w:rPr>
          <w:rFonts w:ascii="Titillium Web" w:eastAsia="Times New Roman" w:hAnsi="Titillium Web" w:cs="Times New Roman"/>
          <w:color w:val="19191A"/>
          <w:kern w:val="0"/>
          <w:sz w:val="27"/>
          <w:szCs w:val="27"/>
          <w:lang w:eastAsia="it-IT"/>
          <w14:ligatures w14:val="none"/>
        </w:rPr>
        <w:t xml:space="preserve"> </w:t>
      </w:r>
      <w:permStart w:id="377845107" w:edGrp="everyone"/>
      <w:r w:rsidRPr="00BE2F0B">
        <w:rPr>
          <w:rFonts w:ascii="Titillium Web" w:eastAsia="Times New Roman" w:hAnsi="Titillium Web" w:cs="Times New Roman"/>
          <w:color w:val="19191A"/>
          <w:kern w:val="0"/>
          <w:sz w:val="27"/>
          <w:szCs w:val="27"/>
          <w:lang w:eastAsia="it-IT"/>
          <w14:ligatures w14:val="none"/>
        </w:rPr>
        <w:t>_______________</w:t>
      </w:r>
      <w:permEnd w:id="377845107"/>
      <w:r w:rsidRPr="00BE2F0B">
        <w:rPr>
          <w:rFonts w:ascii="Titillium Web" w:eastAsia="Times New Roman" w:hAnsi="Titillium Web" w:cs="Times New Roman"/>
          <w:color w:val="19191A"/>
          <w:kern w:val="0"/>
          <w:sz w:val="27"/>
          <w:szCs w:val="27"/>
          <w:lang w:eastAsia="it-IT"/>
          <w14:ligatures w14:val="none"/>
        </w:rPr>
        <w:t xml:space="preserve"> il </w:t>
      </w:r>
      <w:permStart w:id="1071802102" w:edGrp="everyone"/>
      <w:r w:rsidRPr="00BE2F0B">
        <w:rPr>
          <w:rFonts w:ascii="Titillium Web" w:eastAsia="Times New Roman" w:hAnsi="Titillium Web" w:cs="Times New Roman"/>
          <w:color w:val="19191A"/>
          <w:kern w:val="0"/>
          <w:sz w:val="27"/>
          <w:szCs w:val="27"/>
          <w:lang w:eastAsia="it-IT"/>
          <w14:ligatures w14:val="none"/>
        </w:rPr>
        <w:t>_____________</w:t>
      </w:r>
      <w:permEnd w:id="1071802102"/>
      <w:r w:rsidRPr="00BE2F0B">
        <w:rPr>
          <w:rFonts w:ascii="Titillium Web" w:eastAsia="Times New Roman" w:hAnsi="Titillium Web" w:cs="Times New Roman"/>
          <w:color w:val="19191A"/>
          <w:kern w:val="0"/>
          <w:sz w:val="27"/>
          <w:szCs w:val="27"/>
          <w:lang w:eastAsia="it-IT"/>
          <w14:ligatures w14:val="none"/>
        </w:rPr>
        <w:t xml:space="preserve">, C.F. </w:t>
      </w:r>
      <w:permStart w:id="1416976445" w:edGrp="everyone"/>
      <w:r w:rsidRPr="00BE2F0B">
        <w:rPr>
          <w:rFonts w:ascii="Titillium Web" w:eastAsia="Times New Roman" w:hAnsi="Titillium Web" w:cs="Times New Roman"/>
          <w:color w:val="19191A"/>
          <w:kern w:val="0"/>
          <w:sz w:val="27"/>
          <w:szCs w:val="27"/>
          <w:lang w:eastAsia="it-IT"/>
          <w14:ligatures w14:val="none"/>
        </w:rPr>
        <w:t>________________________</w:t>
      </w:r>
      <w:permEnd w:id="1416976445"/>
      <w:r w:rsidRPr="00BE2F0B">
        <w:rPr>
          <w:rFonts w:ascii="Titillium Web" w:eastAsia="Times New Roman" w:hAnsi="Titillium Web" w:cs="Times New Roman"/>
          <w:color w:val="19191A"/>
          <w:kern w:val="0"/>
          <w:sz w:val="27"/>
          <w:szCs w:val="27"/>
          <w:lang w:eastAsia="it-IT"/>
          <w14:ligatures w14:val="none"/>
        </w:rPr>
        <w:t xml:space="preserve">, iscritto/a all’Ordine </w:t>
      </w:r>
      <w:permStart w:id="1738425013" w:edGrp="everyone"/>
      <w:r w:rsidRPr="00BE2F0B">
        <w:rPr>
          <w:rFonts w:ascii="Titillium Web" w:eastAsia="Times New Roman" w:hAnsi="Titillium Web" w:cs="Times New Roman"/>
          <w:color w:val="19191A"/>
          <w:kern w:val="0"/>
          <w:sz w:val="27"/>
          <w:szCs w:val="27"/>
          <w:lang w:eastAsia="it-IT"/>
          <w14:ligatures w14:val="none"/>
        </w:rPr>
        <w:t>_________________________</w:t>
      </w:r>
      <w:permEnd w:id="1738425013"/>
      <w:r w:rsidRPr="00BE2F0B">
        <w:rPr>
          <w:rFonts w:ascii="Titillium Web" w:eastAsia="Times New Roman" w:hAnsi="Titillium Web" w:cs="Times New Roman"/>
          <w:color w:val="19191A"/>
          <w:kern w:val="0"/>
          <w:sz w:val="27"/>
          <w:szCs w:val="27"/>
          <w:lang w:eastAsia="it-IT"/>
          <w14:ligatures w14:val="none"/>
        </w:rPr>
        <w:t xml:space="preserve"> dal </w:t>
      </w:r>
      <w:permStart w:id="1694186705" w:edGrp="everyone"/>
      <w:r w:rsidRPr="00BE2F0B">
        <w:rPr>
          <w:rFonts w:ascii="Titillium Web" w:eastAsia="Times New Roman" w:hAnsi="Titillium Web" w:cs="Times New Roman"/>
          <w:color w:val="19191A"/>
          <w:kern w:val="0"/>
          <w:sz w:val="27"/>
          <w:szCs w:val="27"/>
          <w:lang w:eastAsia="it-IT"/>
          <w14:ligatures w14:val="none"/>
        </w:rPr>
        <w:t>________</w:t>
      </w:r>
      <w:permEnd w:id="1694186705"/>
    </w:p>
    <w:p w14:paraId="3D5D4D42" w14:textId="79D77BF1" w:rsidR="00BE2F0B" w:rsidRPr="00BE2F0B" w:rsidRDefault="00BE2F0B" w:rsidP="00BE2F0B">
      <w:pPr>
        <w:shd w:val="clear" w:color="auto" w:fill="FFFFFF"/>
        <w:spacing w:after="0" w:line="240" w:lineRule="auto"/>
        <w:jc w:val="both"/>
        <w:rPr>
          <w:rFonts w:ascii="Titillium Web" w:eastAsia="Times New Roman" w:hAnsi="Titillium Web" w:cs="Times New Roman"/>
          <w:color w:val="19191A"/>
          <w:kern w:val="0"/>
          <w:sz w:val="27"/>
          <w:szCs w:val="27"/>
          <w:lang w:eastAsia="it-IT"/>
          <w14:ligatures w14:val="none"/>
        </w:rPr>
      </w:pPr>
    </w:p>
    <w:p w14:paraId="3F69B77E" w14:textId="4914B377" w:rsidR="00BE2F0B" w:rsidRPr="00BE2F0B" w:rsidRDefault="00BE2F0B" w:rsidP="00BE2F0B">
      <w:pPr>
        <w:shd w:val="clear" w:color="auto" w:fill="FFFFFF"/>
        <w:spacing w:after="0" w:line="240" w:lineRule="auto"/>
        <w:jc w:val="both"/>
        <w:rPr>
          <w:rFonts w:ascii="Titillium Web" w:eastAsia="Times New Roman" w:hAnsi="Titillium Web" w:cs="Times New Roman"/>
          <w:color w:val="19191A"/>
          <w:kern w:val="0"/>
          <w:sz w:val="27"/>
          <w:szCs w:val="27"/>
          <w:lang w:eastAsia="it-IT"/>
          <w14:ligatures w14:val="none"/>
        </w:rPr>
      </w:pPr>
      <w:r w:rsidRPr="00BE2F0B">
        <w:rPr>
          <w:rFonts w:ascii="Titillium Web" w:eastAsia="Times New Roman" w:hAnsi="Titillium Web" w:cs="Times New Roman"/>
          <w:b/>
          <w:bCs/>
          <w:color w:val="19191A"/>
          <w:kern w:val="0"/>
          <w:sz w:val="27"/>
          <w:szCs w:val="27"/>
          <w:lang w:eastAsia="it-IT"/>
          <w14:ligatures w14:val="none"/>
        </w:rPr>
        <w:t>Precedenti esperienze</w:t>
      </w:r>
      <w:r>
        <w:rPr>
          <w:rFonts w:ascii="Titillium Web" w:eastAsia="Times New Roman" w:hAnsi="Titillium Web" w:cs="Times New Roman"/>
          <w:color w:val="19191A"/>
          <w:kern w:val="0"/>
          <w:sz w:val="27"/>
          <w:szCs w:val="27"/>
          <w:lang w:eastAsia="it-IT"/>
          <w14:ligatures w14:val="none"/>
        </w:rPr>
        <w:t xml:space="preserve"> </w:t>
      </w:r>
      <w:r w:rsidRPr="00BE2F0B">
        <w:rPr>
          <w:rFonts w:ascii="Titillium Web" w:eastAsia="Times New Roman" w:hAnsi="Titillium Web" w:cs="Times New Roman"/>
          <w:color w:val="19191A"/>
          <w:kern w:val="0"/>
          <w:sz w:val="27"/>
          <w:szCs w:val="27"/>
          <w:lang w:eastAsia="it-IT"/>
          <w14:ligatures w14:val="none"/>
        </w:rPr>
        <w:t>nel campo della ristrutturazione aziendale e della crisi d’impresa:</w:t>
      </w:r>
    </w:p>
    <w:p w14:paraId="55B1206F" w14:textId="77777777" w:rsidR="00BE2F0B" w:rsidRPr="00BE2F0B" w:rsidRDefault="00BE2F0B" w:rsidP="00BE2F0B">
      <w:pPr>
        <w:numPr>
          <w:ilvl w:val="0"/>
          <w:numId w:val="1"/>
        </w:numPr>
        <w:shd w:val="clear" w:color="auto" w:fill="FFFFFF"/>
        <w:spacing w:before="100" w:beforeAutospacing="1" w:after="100" w:afterAutospacing="1" w:line="345" w:lineRule="atLeast"/>
        <w:ind w:left="1260"/>
        <w:jc w:val="both"/>
        <w:rPr>
          <w:rFonts w:ascii="Titillium Web" w:eastAsia="Times New Roman" w:hAnsi="Titillium Web" w:cs="Times New Roman"/>
          <w:color w:val="19191A"/>
          <w:kern w:val="0"/>
          <w:sz w:val="27"/>
          <w:szCs w:val="27"/>
          <w:lang w:eastAsia="it-IT"/>
          <w14:ligatures w14:val="none"/>
        </w:rPr>
      </w:pPr>
      <w:r w:rsidRPr="00BE2F0B">
        <w:rPr>
          <w:rFonts w:ascii="Titillium Web" w:eastAsia="Times New Roman" w:hAnsi="Titillium Web" w:cs="Times New Roman"/>
          <w:color w:val="19191A"/>
          <w:kern w:val="0"/>
          <w:sz w:val="27"/>
          <w:szCs w:val="27"/>
          <w:lang w:eastAsia="it-IT"/>
          <w14:ligatures w14:val="none"/>
        </w:rPr>
        <w:t>commissario giudiziale nell’ambito della procedura di concordato preventivo;</w:t>
      </w:r>
    </w:p>
    <w:p w14:paraId="07361CFE" w14:textId="77777777" w:rsidR="00BE2F0B" w:rsidRPr="00BE2F0B" w:rsidRDefault="00BE2F0B" w:rsidP="00BE2F0B">
      <w:pPr>
        <w:numPr>
          <w:ilvl w:val="0"/>
          <w:numId w:val="1"/>
        </w:numPr>
        <w:shd w:val="clear" w:color="auto" w:fill="FFFFFF"/>
        <w:spacing w:before="100" w:beforeAutospacing="1" w:after="100" w:afterAutospacing="1" w:line="345" w:lineRule="atLeast"/>
        <w:ind w:left="1260"/>
        <w:jc w:val="both"/>
        <w:rPr>
          <w:rFonts w:ascii="Titillium Web" w:eastAsia="Times New Roman" w:hAnsi="Titillium Web" w:cs="Times New Roman"/>
          <w:color w:val="19191A"/>
          <w:kern w:val="0"/>
          <w:sz w:val="27"/>
          <w:szCs w:val="27"/>
          <w:lang w:eastAsia="it-IT"/>
          <w14:ligatures w14:val="none"/>
        </w:rPr>
      </w:pPr>
      <w:r w:rsidRPr="00BE2F0B">
        <w:rPr>
          <w:rFonts w:ascii="Titillium Web" w:eastAsia="Times New Roman" w:hAnsi="Titillium Web" w:cs="Times New Roman"/>
          <w:color w:val="19191A"/>
          <w:kern w:val="0"/>
          <w:sz w:val="27"/>
          <w:szCs w:val="27"/>
          <w:lang w:eastAsia="it-IT"/>
          <w14:ligatures w14:val="none"/>
        </w:rPr>
        <w:t>commissario straordinario nelle procedure di amministrazione straordinaria;</w:t>
      </w:r>
    </w:p>
    <w:p w14:paraId="4202E782" w14:textId="77777777" w:rsidR="00BE2F0B" w:rsidRPr="00BE2F0B" w:rsidRDefault="00BE2F0B" w:rsidP="00BE2F0B">
      <w:pPr>
        <w:numPr>
          <w:ilvl w:val="0"/>
          <w:numId w:val="1"/>
        </w:numPr>
        <w:shd w:val="clear" w:color="auto" w:fill="FFFFFF"/>
        <w:spacing w:before="100" w:beforeAutospacing="1" w:after="100" w:afterAutospacing="1" w:line="345" w:lineRule="atLeast"/>
        <w:ind w:left="1260"/>
        <w:jc w:val="both"/>
        <w:rPr>
          <w:rFonts w:ascii="Titillium Web" w:eastAsia="Times New Roman" w:hAnsi="Titillium Web" w:cs="Times New Roman"/>
          <w:color w:val="19191A"/>
          <w:kern w:val="0"/>
          <w:sz w:val="27"/>
          <w:szCs w:val="27"/>
          <w:lang w:eastAsia="it-IT"/>
          <w14:ligatures w14:val="none"/>
        </w:rPr>
      </w:pPr>
      <w:r w:rsidRPr="00BE2F0B">
        <w:rPr>
          <w:rFonts w:ascii="Titillium Web" w:eastAsia="Times New Roman" w:hAnsi="Titillium Web" w:cs="Times New Roman"/>
          <w:color w:val="19191A"/>
          <w:kern w:val="0"/>
          <w:sz w:val="27"/>
          <w:szCs w:val="27"/>
          <w:lang w:eastAsia="it-IT"/>
          <w14:ligatures w14:val="none"/>
        </w:rPr>
        <w:t>attestatore ai sensi degli articoli 67, terzo comma, lett. d), 161, terzo comma, 182-bis, primo comma, e 186-bis del regio decreto 16 marzo 1942, n. 267, oppure ai sensi degli articoli 44, comma 1, lettera a), 54, comma 3, 56, comma 3, 57, comma 4, 63, 87, comma 3, 99, comma 2 e 100, comma 1, 284 del Codice della crisi d’impresa;</w:t>
      </w:r>
    </w:p>
    <w:p w14:paraId="047838A7" w14:textId="77777777" w:rsidR="00BE2F0B" w:rsidRPr="00BE2F0B" w:rsidRDefault="00BE2F0B" w:rsidP="00BE2F0B">
      <w:pPr>
        <w:numPr>
          <w:ilvl w:val="0"/>
          <w:numId w:val="1"/>
        </w:numPr>
        <w:shd w:val="clear" w:color="auto" w:fill="FFFFFF"/>
        <w:spacing w:before="100" w:beforeAutospacing="1" w:after="100" w:afterAutospacing="1" w:line="345" w:lineRule="atLeast"/>
        <w:ind w:left="1260"/>
        <w:jc w:val="both"/>
        <w:rPr>
          <w:rFonts w:ascii="Titillium Web" w:eastAsia="Times New Roman" w:hAnsi="Titillium Web" w:cs="Times New Roman"/>
          <w:color w:val="19191A"/>
          <w:kern w:val="0"/>
          <w:sz w:val="27"/>
          <w:szCs w:val="27"/>
          <w:lang w:eastAsia="it-IT"/>
          <w14:ligatures w14:val="none"/>
        </w:rPr>
      </w:pPr>
      <w:r w:rsidRPr="00BE2F0B">
        <w:rPr>
          <w:rFonts w:ascii="Titillium Web" w:eastAsia="Times New Roman" w:hAnsi="Titillium Web" w:cs="Times New Roman"/>
          <w:color w:val="19191A"/>
          <w:kern w:val="0"/>
          <w:sz w:val="27"/>
          <w:szCs w:val="27"/>
          <w:lang w:eastAsia="it-IT"/>
          <w14:ligatures w14:val="none"/>
        </w:rPr>
        <w:t>gestore della crisi incaricato della ristrutturazione dell’impresa agricola ai sensi dell’articolo 7 della legge 27 gennaio 2012, n. 3 oppure ai sensi dell’articolo 74 del Codice della crisi d’impresa;</w:t>
      </w:r>
    </w:p>
    <w:p w14:paraId="13220AA7" w14:textId="77777777" w:rsidR="00BE2F0B" w:rsidRPr="00BE2F0B" w:rsidRDefault="00BE2F0B" w:rsidP="00BE2F0B">
      <w:pPr>
        <w:numPr>
          <w:ilvl w:val="0"/>
          <w:numId w:val="1"/>
        </w:numPr>
        <w:shd w:val="clear" w:color="auto" w:fill="FFFFFF"/>
        <w:spacing w:before="100" w:beforeAutospacing="1" w:after="0" w:afterAutospacing="1" w:line="345" w:lineRule="atLeast"/>
        <w:ind w:left="1260"/>
        <w:jc w:val="both"/>
        <w:rPr>
          <w:rFonts w:ascii="Titillium Web" w:eastAsia="Times New Roman" w:hAnsi="Titillium Web" w:cs="Times New Roman"/>
          <w:color w:val="19191A"/>
          <w:kern w:val="0"/>
          <w:sz w:val="27"/>
          <w:szCs w:val="27"/>
          <w:lang w:eastAsia="it-IT"/>
          <w14:ligatures w14:val="none"/>
        </w:rPr>
      </w:pPr>
      <w:r w:rsidRPr="00BE2F0B">
        <w:rPr>
          <w:rFonts w:ascii="Titillium Web" w:eastAsia="Times New Roman" w:hAnsi="Titillium Web" w:cs="Times New Roman"/>
          <w:b/>
          <w:bCs/>
          <w:color w:val="435A70"/>
          <w:kern w:val="0"/>
          <w:sz w:val="27"/>
          <w:szCs w:val="27"/>
          <w:lang w:eastAsia="it-IT"/>
          <w14:ligatures w14:val="none"/>
        </w:rPr>
        <w:t>advisor</w:t>
      </w:r>
      <w:r w:rsidRPr="00BE2F0B">
        <w:rPr>
          <w:rFonts w:ascii="Titillium Web" w:eastAsia="Times New Roman" w:hAnsi="Titillium Web" w:cs="Times New Roman"/>
          <w:color w:val="19191A"/>
          <w:kern w:val="0"/>
          <w:sz w:val="27"/>
          <w:szCs w:val="27"/>
          <w:lang w:eastAsia="it-IT"/>
          <w14:ligatures w14:val="none"/>
        </w:rPr>
        <w:t>, anche legale, con incarico finalizzato alla predisposizione e presentazione di piani di risanamento attestati, di piani in accordi di ristrutturazione dei debiti, di convenzioni e/o accordi di moratoria con più creditori e, infine, di piani e proposte di concordati preventivi o fallimentari in continuità o misti;</w:t>
      </w:r>
    </w:p>
    <w:p w14:paraId="1BFF740C" w14:textId="77777777" w:rsidR="00BE2F0B" w:rsidRPr="00BE2F0B" w:rsidRDefault="00BE2F0B" w:rsidP="00BE2F0B">
      <w:pPr>
        <w:numPr>
          <w:ilvl w:val="0"/>
          <w:numId w:val="1"/>
        </w:numPr>
        <w:shd w:val="clear" w:color="auto" w:fill="FFFFFF"/>
        <w:spacing w:before="100" w:beforeAutospacing="1" w:after="0" w:afterAutospacing="1" w:line="345" w:lineRule="atLeast"/>
        <w:ind w:left="1260"/>
        <w:jc w:val="both"/>
        <w:rPr>
          <w:rFonts w:ascii="Titillium Web" w:eastAsia="Times New Roman" w:hAnsi="Titillium Web" w:cs="Times New Roman"/>
          <w:color w:val="19191A"/>
          <w:kern w:val="0"/>
          <w:sz w:val="27"/>
          <w:szCs w:val="27"/>
          <w:lang w:eastAsia="it-IT"/>
          <w14:ligatures w14:val="none"/>
        </w:rPr>
      </w:pPr>
      <w:r w:rsidRPr="00BE2F0B">
        <w:rPr>
          <w:rFonts w:ascii="Titillium Web" w:eastAsia="Times New Roman" w:hAnsi="Titillium Web" w:cs="Times New Roman"/>
          <w:b/>
          <w:bCs/>
          <w:color w:val="435A70"/>
          <w:kern w:val="0"/>
          <w:sz w:val="27"/>
          <w:szCs w:val="27"/>
          <w:lang w:eastAsia="it-IT"/>
          <w14:ligatures w14:val="none"/>
        </w:rPr>
        <w:t>advisor</w:t>
      </w:r>
      <w:r w:rsidRPr="00BE2F0B">
        <w:rPr>
          <w:rFonts w:ascii="Titillium Web" w:eastAsia="Times New Roman" w:hAnsi="Titillium Web" w:cs="Times New Roman"/>
          <w:color w:val="19191A"/>
          <w:kern w:val="0"/>
          <w:sz w:val="27"/>
          <w:szCs w:val="27"/>
          <w:lang w:eastAsia="it-IT"/>
          <w14:ligatures w14:val="none"/>
        </w:rPr>
        <w:t>, anche legale, con incarico finalizzato all’individuazione e alla soluzione delle problematiche fiscali per la ristrutturazione del debito tributario e previdenziale e funzionale alla ristrutturazione di imprese in crisi;</w:t>
      </w:r>
    </w:p>
    <w:p w14:paraId="3213BFDC" w14:textId="77777777" w:rsidR="00BE2F0B" w:rsidRPr="00BE2F0B" w:rsidRDefault="00BE2F0B" w:rsidP="00BE2F0B">
      <w:pPr>
        <w:numPr>
          <w:ilvl w:val="0"/>
          <w:numId w:val="1"/>
        </w:numPr>
        <w:shd w:val="clear" w:color="auto" w:fill="FFFFFF"/>
        <w:spacing w:before="100" w:beforeAutospacing="1" w:after="0" w:afterAutospacing="1" w:line="345" w:lineRule="atLeast"/>
        <w:ind w:left="1260"/>
        <w:jc w:val="both"/>
        <w:rPr>
          <w:rFonts w:ascii="Titillium Web" w:eastAsia="Times New Roman" w:hAnsi="Titillium Web" w:cs="Times New Roman"/>
          <w:color w:val="19191A"/>
          <w:kern w:val="0"/>
          <w:sz w:val="27"/>
          <w:szCs w:val="27"/>
          <w:lang w:eastAsia="it-IT"/>
          <w14:ligatures w14:val="none"/>
        </w:rPr>
      </w:pPr>
      <w:r w:rsidRPr="00BE2F0B">
        <w:rPr>
          <w:rFonts w:ascii="Titillium Web" w:eastAsia="Times New Roman" w:hAnsi="Titillium Web" w:cs="Times New Roman"/>
          <w:b/>
          <w:bCs/>
          <w:color w:val="435A70"/>
          <w:kern w:val="0"/>
          <w:sz w:val="27"/>
          <w:szCs w:val="27"/>
          <w:lang w:eastAsia="it-IT"/>
          <w14:ligatures w14:val="none"/>
        </w:rPr>
        <w:t>advisor</w:t>
      </w:r>
      <w:r w:rsidRPr="00BE2F0B">
        <w:rPr>
          <w:rFonts w:ascii="Titillium Web" w:eastAsia="Times New Roman" w:hAnsi="Titillium Web" w:cs="Times New Roman"/>
          <w:color w:val="19191A"/>
          <w:kern w:val="0"/>
          <w:sz w:val="27"/>
          <w:szCs w:val="27"/>
          <w:lang w:eastAsia="it-IT"/>
          <w14:ligatures w14:val="none"/>
        </w:rPr>
        <w:t>, anche legale, con incarico in ambito giuslavoristico, purché strettamente funzionale alla gestione dei rapporti con i dipendenti nell’ambito della ristrutturazione di imprese in crisi;</w:t>
      </w:r>
    </w:p>
    <w:p w14:paraId="3AB42A0C" w14:textId="77777777" w:rsidR="00BE2F0B" w:rsidRPr="00BE2F0B" w:rsidRDefault="00BE2F0B" w:rsidP="00BE2F0B">
      <w:pPr>
        <w:numPr>
          <w:ilvl w:val="0"/>
          <w:numId w:val="1"/>
        </w:numPr>
        <w:shd w:val="clear" w:color="auto" w:fill="FFFFFF"/>
        <w:spacing w:before="100" w:beforeAutospacing="1" w:after="100" w:afterAutospacing="1" w:line="345" w:lineRule="atLeast"/>
        <w:ind w:left="1260"/>
        <w:jc w:val="both"/>
        <w:rPr>
          <w:rFonts w:ascii="Titillium Web" w:eastAsia="Times New Roman" w:hAnsi="Titillium Web" w:cs="Times New Roman"/>
          <w:color w:val="19191A"/>
          <w:kern w:val="0"/>
          <w:sz w:val="27"/>
          <w:szCs w:val="27"/>
          <w:lang w:eastAsia="it-IT"/>
          <w14:ligatures w14:val="none"/>
        </w:rPr>
      </w:pPr>
      <w:r w:rsidRPr="00BE2F0B">
        <w:rPr>
          <w:rFonts w:ascii="Titillium Web" w:eastAsia="Times New Roman" w:hAnsi="Titillium Web" w:cs="Times New Roman"/>
          <w:color w:val="19191A"/>
          <w:kern w:val="0"/>
          <w:sz w:val="27"/>
          <w:szCs w:val="27"/>
          <w:lang w:eastAsia="it-IT"/>
          <w14:ligatures w14:val="none"/>
        </w:rPr>
        <w:lastRenderedPageBreak/>
        <w:t>attività di amministrazione, direzione e controllo in imprese interessate da operazioni di ristrutturazione concluse con piani di risanamento attestati e di accordi di ristrutturazione dei debiti e concordati preventivi con continuità aziendale se omologati relativi ad aziende rispetto alle quali non sia stata successivamente pronunciata sentenza dichiarativa di fallimento o di accertamento dello stato di insolvenza;</w:t>
      </w:r>
    </w:p>
    <w:p w14:paraId="2CBDE102" w14:textId="77777777" w:rsidR="00BE2F0B" w:rsidRPr="00BE2F0B" w:rsidRDefault="00BE2F0B" w:rsidP="00BE2F0B">
      <w:pPr>
        <w:numPr>
          <w:ilvl w:val="0"/>
          <w:numId w:val="1"/>
        </w:numPr>
        <w:shd w:val="clear" w:color="auto" w:fill="FFFFFF"/>
        <w:spacing w:before="100" w:beforeAutospacing="1" w:after="100" w:afterAutospacing="1" w:line="345" w:lineRule="atLeast"/>
        <w:ind w:left="1260"/>
        <w:jc w:val="both"/>
        <w:rPr>
          <w:rFonts w:ascii="Titillium Web" w:eastAsia="Times New Roman" w:hAnsi="Titillium Web" w:cs="Times New Roman"/>
          <w:color w:val="19191A"/>
          <w:kern w:val="0"/>
          <w:sz w:val="27"/>
          <w:szCs w:val="27"/>
          <w:lang w:eastAsia="it-IT"/>
          <w14:ligatures w14:val="none"/>
        </w:rPr>
      </w:pPr>
      <w:r w:rsidRPr="00BE2F0B">
        <w:rPr>
          <w:rFonts w:ascii="Titillium Web" w:eastAsia="Times New Roman" w:hAnsi="Titillium Web" w:cs="Times New Roman"/>
          <w:color w:val="19191A"/>
          <w:kern w:val="0"/>
          <w:sz w:val="27"/>
          <w:szCs w:val="27"/>
          <w:lang w:eastAsia="it-IT"/>
          <w14:ligatures w14:val="none"/>
        </w:rPr>
        <w:t>esperto nominato nell’ambito della composizione negoziata.</w:t>
      </w:r>
    </w:p>
    <w:p w14:paraId="0B6DCA9E" w14:textId="33B405B9" w:rsidR="00BE2F0B" w:rsidRPr="00BE2F0B" w:rsidRDefault="00BE2F0B" w:rsidP="00BE2F0B">
      <w:pPr>
        <w:shd w:val="clear" w:color="auto" w:fill="FFFFFF"/>
        <w:spacing w:after="0" w:line="240" w:lineRule="auto"/>
        <w:jc w:val="both"/>
        <w:rPr>
          <w:rFonts w:ascii="Titillium Web" w:eastAsia="Times New Roman" w:hAnsi="Titillium Web" w:cs="Times New Roman"/>
          <w:color w:val="19191A"/>
          <w:kern w:val="0"/>
          <w:sz w:val="27"/>
          <w:szCs w:val="27"/>
          <w:lang w:eastAsia="it-IT"/>
          <w14:ligatures w14:val="none"/>
        </w:rPr>
      </w:pPr>
      <w:r w:rsidRPr="00BE2F0B">
        <w:rPr>
          <w:rFonts w:ascii="Titillium Web" w:eastAsia="Times New Roman" w:hAnsi="Titillium Web" w:cs="Times New Roman"/>
          <w:color w:val="19191A"/>
          <w:kern w:val="0"/>
          <w:sz w:val="27"/>
          <w:szCs w:val="27"/>
          <w:lang w:eastAsia="it-IT"/>
          <w14:ligatures w14:val="none"/>
        </w:rPr>
        <w:t>Per ogni esperienza maturata possono indicarsi, rispetto alla impresa, o al gruppo di imprese, interessati dalla ristrutturazione, le seguenti</w:t>
      </w:r>
      <w:r w:rsidR="004E3F58">
        <w:rPr>
          <w:rFonts w:ascii="Titillium Web" w:eastAsia="Times New Roman" w:hAnsi="Titillium Web" w:cs="Times New Roman"/>
          <w:color w:val="19191A"/>
          <w:kern w:val="0"/>
          <w:sz w:val="27"/>
          <w:szCs w:val="27"/>
          <w:lang w:eastAsia="it-IT"/>
          <w14:ligatures w14:val="none"/>
        </w:rPr>
        <w:t xml:space="preserve"> </w:t>
      </w:r>
      <w:r w:rsidRPr="00BE2F0B">
        <w:rPr>
          <w:rFonts w:ascii="Titillium Web" w:eastAsia="Times New Roman" w:hAnsi="Titillium Web" w:cs="Times New Roman"/>
          <w:b/>
          <w:bCs/>
          <w:color w:val="19191A"/>
          <w:kern w:val="0"/>
          <w:sz w:val="27"/>
          <w:szCs w:val="27"/>
          <w:lang w:eastAsia="it-IT"/>
          <w14:ligatures w14:val="none"/>
        </w:rPr>
        <w:t>informazioni aggiuntive</w:t>
      </w:r>
      <w:r w:rsidRPr="00BE2F0B">
        <w:rPr>
          <w:rFonts w:ascii="Titillium Web" w:eastAsia="Times New Roman" w:hAnsi="Titillium Web" w:cs="Times New Roman"/>
          <w:color w:val="19191A"/>
          <w:kern w:val="0"/>
          <w:sz w:val="27"/>
          <w:szCs w:val="27"/>
          <w:lang w:eastAsia="it-IT"/>
          <w14:ligatures w14:val="none"/>
        </w:rPr>
        <w:t>:</w:t>
      </w:r>
    </w:p>
    <w:p w14:paraId="0E02CE6B" w14:textId="77777777" w:rsidR="00BE2F0B" w:rsidRPr="00BE2F0B" w:rsidRDefault="00BE2F0B" w:rsidP="00BE2F0B">
      <w:pPr>
        <w:numPr>
          <w:ilvl w:val="0"/>
          <w:numId w:val="2"/>
        </w:numPr>
        <w:shd w:val="clear" w:color="auto" w:fill="FFFFFF"/>
        <w:spacing w:before="100" w:beforeAutospacing="1" w:after="100" w:afterAutospacing="1" w:line="345" w:lineRule="atLeast"/>
        <w:ind w:left="1260"/>
        <w:jc w:val="both"/>
        <w:rPr>
          <w:rFonts w:ascii="Titillium Web" w:eastAsia="Times New Roman" w:hAnsi="Titillium Web" w:cs="Times New Roman"/>
          <w:color w:val="19191A"/>
          <w:kern w:val="0"/>
          <w:sz w:val="27"/>
          <w:szCs w:val="27"/>
          <w:lang w:eastAsia="it-IT"/>
          <w14:ligatures w14:val="none"/>
        </w:rPr>
      </w:pPr>
      <w:r w:rsidRPr="00BE2F0B">
        <w:rPr>
          <w:rFonts w:ascii="Titillium Web" w:eastAsia="Times New Roman" w:hAnsi="Titillium Web" w:cs="Times New Roman"/>
          <w:color w:val="19191A"/>
          <w:kern w:val="0"/>
          <w:sz w:val="27"/>
          <w:szCs w:val="27"/>
          <w:lang w:eastAsia="it-IT"/>
          <w14:ligatures w14:val="none"/>
        </w:rPr>
        <w:t>settore merceologico (con inserimento Codici Istat studi di settore)</w:t>
      </w:r>
    </w:p>
    <w:p w14:paraId="1CB58922" w14:textId="77777777" w:rsidR="00BE2F0B" w:rsidRPr="00BE2F0B" w:rsidRDefault="00BE2F0B" w:rsidP="00BE2F0B">
      <w:pPr>
        <w:numPr>
          <w:ilvl w:val="0"/>
          <w:numId w:val="2"/>
        </w:numPr>
        <w:shd w:val="clear" w:color="auto" w:fill="FFFFFF"/>
        <w:spacing w:before="100" w:beforeAutospacing="1" w:after="100" w:afterAutospacing="1" w:line="345" w:lineRule="atLeast"/>
        <w:ind w:left="1260"/>
        <w:jc w:val="both"/>
        <w:rPr>
          <w:rFonts w:ascii="Titillium Web" w:eastAsia="Times New Roman" w:hAnsi="Titillium Web" w:cs="Times New Roman"/>
          <w:color w:val="19191A"/>
          <w:kern w:val="0"/>
          <w:sz w:val="27"/>
          <w:szCs w:val="27"/>
          <w:lang w:eastAsia="it-IT"/>
          <w14:ligatures w14:val="none"/>
        </w:rPr>
      </w:pPr>
      <w:r w:rsidRPr="00BE2F0B">
        <w:rPr>
          <w:rFonts w:ascii="Titillium Web" w:eastAsia="Times New Roman" w:hAnsi="Titillium Web" w:cs="Times New Roman"/>
          <w:color w:val="19191A"/>
          <w:kern w:val="0"/>
          <w:sz w:val="27"/>
          <w:szCs w:val="27"/>
          <w:lang w:eastAsia="it-IT"/>
          <w14:ligatures w14:val="none"/>
        </w:rPr>
        <w:t>fatturato (se inferiore a 500.000 euro, se compreso tra i 500.000 euro e 5 milioni di euro oppure tra 5 e 50 milioni di euro o, infine, se superiore a 50 milioni di euro);</w:t>
      </w:r>
    </w:p>
    <w:p w14:paraId="7B5AA1E8" w14:textId="6DA11256" w:rsidR="00BE2F0B" w:rsidRPr="00BE2F0B" w:rsidRDefault="004E3F58" w:rsidP="00BE2F0B">
      <w:pPr>
        <w:numPr>
          <w:ilvl w:val="0"/>
          <w:numId w:val="2"/>
        </w:numPr>
        <w:shd w:val="clear" w:color="auto" w:fill="FFFFFF"/>
        <w:spacing w:before="100" w:beforeAutospacing="1" w:after="100" w:afterAutospacing="1" w:line="345" w:lineRule="atLeast"/>
        <w:ind w:left="1260"/>
        <w:jc w:val="both"/>
        <w:rPr>
          <w:rFonts w:ascii="Titillium Web" w:eastAsia="Times New Roman" w:hAnsi="Titillium Web" w:cs="Times New Roman"/>
          <w:color w:val="19191A"/>
          <w:kern w:val="0"/>
          <w:sz w:val="27"/>
          <w:szCs w:val="27"/>
          <w:lang w:eastAsia="it-IT"/>
          <w14:ligatures w14:val="none"/>
        </w:rPr>
      </w:pPr>
      <w:r>
        <w:rPr>
          <w:rFonts w:ascii="Titillium Web" w:eastAsia="Times New Roman" w:hAnsi="Titillium Web" w:cs="Times New Roman"/>
          <w:color w:val="19191A"/>
          <w:kern w:val="0"/>
          <w:sz w:val="27"/>
          <w:szCs w:val="27"/>
          <w:lang w:eastAsia="it-IT"/>
          <w14:ligatures w14:val="none"/>
        </w:rPr>
        <w:t>d</w:t>
      </w:r>
      <w:r w:rsidR="00BE2F0B" w:rsidRPr="00BE2F0B">
        <w:rPr>
          <w:rFonts w:ascii="Titillium Web" w:eastAsia="Times New Roman" w:hAnsi="Titillium Web" w:cs="Times New Roman"/>
          <w:color w:val="19191A"/>
          <w:kern w:val="0"/>
          <w:sz w:val="27"/>
          <w:szCs w:val="27"/>
          <w:lang w:eastAsia="it-IT"/>
          <w14:ligatures w14:val="none"/>
        </w:rPr>
        <w:t>ebito ristrutturato dell’azienda, o del gruppo in caso di procedura che ha interessato tutte o alcune delle società del gruppo (se inferiore a 200.000 euro, se compreso tra 200.000 euro e 1  milione di euro, se compreso tra 1 e 10 milioni di euro o, infine, se superiore a 10 milioni di euro);</w:t>
      </w:r>
    </w:p>
    <w:p w14:paraId="5F024933" w14:textId="77777777" w:rsidR="00BE2F0B" w:rsidRPr="00BE2F0B" w:rsidRDefault="00BE2F0B" w:rsidP="00BE2F0B">
      <w:pPr>
        <w:numPr>
          <w:ilvl w:val="0"/>
          <w:numId w:val="2"/>
        </w:numPr>
        <w:shd w:val="clear" w:color="auto" w:fill="FFFFFF"/>
        <w:spacing w:before="100" w:beforeAutospacing="1" w:after="100" w:afterAutospacing="1" w:line="345" w:lineRule="atLeast"/>
        <w:ind w:left="1260"/>
        <w:jc w:val="both"/>
        <w:rPr>
          <w:rFonts w:ascii="Titillium Web" w:eastAsia="Times New Roman" w:hAnsi="Titillium Web" w:cs="Times New Roman"/>
          <w:color w:val="19191A"/>
          <w:kern w:val="0"/>
          <w:sz w:val="27"/>
          <w:szCs w:val="27"/>
          <w:lang w:eastAsia="it-IT"/>
          <w14:ligatures w14:val="none"/>
        </w:rPr>
      </w:pPr>
      <w:r w:rsidRPr="00BE2F0B">
        <w:rPr>
          <w:rFonts w:ascii="Titillium Web" w:eastAsia="Times New Roman" w:hAnsi="Titillium Web" w:cs="Times New Roman"/>
          <w:color w:val="19191A"/>
          <w:kern w:val="0"/>
          <w:sz w:val="27"/>
          <w:szCs w:val="27"/>
          <w:lang w:eastAsia="it-IT"/>
          <w14:ligatures w14:val="none"/>
        </w:rPr>
        <w:t>numero addetti dell’impresa, o del gruppo in caso di procedura che ha interessato tutte o alcune delle società del gruppo (se inferiore a 10, se tra 10 e 50, se tra 50 e 250 o, infine, se superiore ai 250);</w:t>
      </w:r>
    </w:p>
    <w:p w14:paraId="75BF168C" w14:textId="77777777" w:rsidR="00BE2F0B" w:rsidRPr="00BE2F0B" w:rsidRDefault="00BE2F0B" w:rsidP="00BE2F0B">
      <w:pPr>
        <w:numPr>
          <w:ilvl w:val="0"/>
          <w:numId w:val="2"/>
        </w:numPr>
        <w:shd w:val="clear" w:color="auto" w:fill="FFFFFF"/>
        <w:spacing w:before="100" w:beforeAutospacing="1" w:after="100" w:afterAutospacing="1" w:line="345" w:lineRule="atLeast"/>
        <w:ind w:left="1260"/>
        <w:jc w:val="both"/>
        <w:rPr>
          <w:rFonts w:ascii="Titillium Web" w:eastAsia="Times New Roman" w:hAnsi="Titillium Web" w:cs="Times New Roman"/>
          <w:color w:val="19191A"/>
          <w:kern w:val="0"/>
          <w:sz w:val="27"/>
          <w:szCs w:val="27"/>
          <w:lang w:eastAsia="it-IT"/>
          <w14:ligatures w14:val="none"/>
        </w:rPr>
      </w:pPr>
      <w:r w:rsidRPr="00BE2F0B">
        <w:rPr>
          <w:rFonts w:ascii="Titillium Web" w:eastAsia="Times New Roman" w:hAnsi="Titillium Web" w:cs="Times New Roman"/>
          <w:color w:val="19191A"/>
          <w:kern w:val="0"/>
          <w:sz w:val="27"/>
          <w:szCs w:val="27"/>
          <w:lang w:eastAsia="it-IT"/>
          <w14:ligatures w14:val="none"/>
        </w:rPr>
        <w:t>numero dei creditori (se inferiore a 10, se tra 10 e 100 o, infine, se superiore a 100).</w:t>
      </w:r>
    </w:p>
    <w:p w14:paraId="3ED0DDB7" w14:textId="3E605793" w:rsidR="00BE2F0B" w:rsidRPr="00BE2F0B" w:rsidRDefault="00BE2F0B" w:rsidP="00BE2F0B">
      <w:pPr>
        <w:shd w:val="clear" w:color="auto" w:fill="FFFFFF"/>
        <w:spacing w:after="0" w:line="240" w:lineRule="auto"/>
        <w:jc w:val="both"/>
        <w:rPr>
          <w:rFonts w:ascii="Titillium Web" w:eastAsia="Times New Roman" w:hAnsi="Titillium Web" w:cs="Times New Roman"/>
          <w:color w:val="19191A"/>
          <w:kern w:val="0"/>
          <w:sz w:val="27"/>
          <w:szCs w:val="27"/>
          <w:lang w:eastAsia="it-IT"/>
          <w14:ligatures w14:val="none"/>
        </w:rPr>
      </w:pPr>
      <w:r w:rsidRPr="00BE2F0B">
        <w:rPr>
          <w:rFonts w:ascii="Titillium Web" w:eastAsia="Times New Roman" w:hAnsi="Titillium Web" w:cs="Times New Roman"/>
          <w:b/>
          <w:bCs/>
          <w:color w:val="19191A"/>
          <w:kern w:val="0"/>
          <w:sz w:val="27"/>
          <w:szCs w:val="27"/>
          <w:lang w:eastAsia="it-IT"/>
          <w14:ligatures w14:val="none"/>
        </w:rPr>
        <w:t>Nota</w:t>
      </w:r>
      <w:r>
        <w:rPr>
          <w:rFonts w:ascii="Titillium Web" w:eastAsia="Times New Roman" w:hAnsi="Titillium Web" w:cs="Times New Roman"/>
          <w:b/>
          <w:bCs/>
          <w:color w:val="19191A"/>
          <w:kern w:val="0"/>
          <w:sz w:val="27"/>
          <w:szCs w:val="27"/>
          <w:lang w:eastAsia="it-IT"/>
          <w14:ligatures w14:val="none"/>
        </w:rPr>
        <w:t xml:space="preserve"> </w:t>
      </w:r>
      <w:r w:rsidRPr="00BE2F0B">
        <w:rPr>
          <w:rFonts w:ascii="Titillium Web" w:eastAsia="Times New Roman" w:hAnsi="Titillium Web" w:cs="Times New Roman"/>
          <w:color w:val="19191A"/>
          <w:kern w:val="0"/>
          <w:sz w:val="27"/>
          <w:szCs w:val="27"/>
          <w:lang w:eastAsia="it-IT"/>
          <w14:ligatures w14:val="none"/>
        </w:rPr>
        <w:t>di max 2.000 caratteri sulle ulteriori informazioni rilevanti.</w:t>
      </w:r>
    </w:p>
    <w:p w14:paraId="32BA6195" w14:textId="77777777" w:rsidR="00BE2F0B" w:rsidRDefault="00BE2F0B" w:rsidP="00BE2F0B">
      <w:pPr>
        <w:jc w:val="both"/>
      </w:pPr>
    </w:p>
    <w:sectPr w:rsidR="00BE2F0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tillium Web">
    <w:charset w:val="00"/>
    <w:family w:val="auto"/>
    <w:pitch w:val="variable"/>
    <w:sig w:usb0="00000007" w:usb1="00000001"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A364A7"/>
    <w:multiLevelType w:val="multilevel"/>
    <w:tmpl w:val="3F5AF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2200F67"/>
    <w:multiLevelType w:val="multilevel"/>
    <w:tmpl w:val="2CB46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80360865">
    <w:abstractNumId w:val="1"/>
  </w:num>
  <w:num w:numId="2" w16cid:durableId="20401567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ocumentProtection w:edit="readOnly" w:enforcement="1" w:cryptProviderType="rsaAES" w:cryptAlgorithmClass="hash" w:cryptAlgorithmType="typeAny" w:cryptAlgorithmSid="14" w:cryptSpinCount="100000" w:hash="RJt4mPTQ/+1Pz7OWwHlGpZpHYSDCGtt+hWUENE7dJ1Ld/KSD+stsyeKCRJakYr9MQltp0SbNHxJ7DX1vpZPnTw==" w:salt="FJ+ypW8q7nQWMNopzdYjvw=="/>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2F0B"/>
    <w:rsid w:val="004E3F58"/>
    <w:rsid w:val="005246A8"/>
    <w:rsid w:val="00BE2F0B"/>
    <w:rsid w:val="00CC4D9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62AFC"/>
  <w15:chartTrackingRefBased/>
  <w15:docId w15:val="{20D9852D-CA67-4F0F-97ED-5338157B5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72540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501</Words>
  <Characters>2860</Characters>
  <Application>Microsoft Office Word</Application>
  <DocSecurity>8</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 Brunino</dc:creator>
  <cp:keywords/>
  <dc:description/>
  <cp:lastModifiedBy>Pierangela Pagnoscin</cp:lastModifiedBy>
  <cp:revision>2</cp:revision>
  <dcterms:created xsi:type="dcterms:W3CDTF">2024-04-03T08:37:00Z</dcterms:created>
  <dcterms:modified xsi:type="dcterms:W3CDTF">2024-04-03T08:37:00Z</dcterms:modified>
</cp:coreProperties>
</file>